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1829D830" w:rsidR="00AF7772" w:rsidRPr="003219A3" w:rsidRDefault="00AF7772"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0406C5" w:rsidRPr="00FD27FA">
        <w:rPr>
          <w:rFonts w:ascii="Arial" w:hAnsi="Arial" w:cs="Arial"/>
          <w:b/>
          <w:noProof/>
          <w:lang w:eastAsia="en-US"/>
        </w:rPr>
        <w:t>Meeting #</w:t>
      </w:r>
      <w:r w:rsidR="00C87760" w:rsidRPr="00FD27FA">
        <w:rPr>
          <w:rFonts w:ascii="Arial" w:hAnsi="Arial" w:cs="Arial"/>
          <w:b/>
          <w:noProof/>
          <w:lang w:eastAsia="en-US"/>
        </w:rPr>
        <w:t>8</w:t>
      </w:r>
      <w:r w:rsidR="00370CAC">
        <w:rPr>
          <w:rFonts w:ascii="Arial" w:hAnsi="Arial" w:cs="Arial"/>
          <w:b/>
          <w:noProof/>
          <w:lang w:eastAsia="en-US"/>
        </w:rPr>
        <w:t>6</w:t>
      </w:r>
      <w:r w:rsidR="00354492" w:rsidRPr="00FD27FA">
        <w:rPr>
          <w:rFonts w:ascii="Arial" w:hAnsi="Arial" w:cs="Arial"/>
          <w:b/>
          <w:noProof/>
          <w:lang w:eastAsia="en-US"/>
        </w:rPr>
        <w:tab/>
      </w:r>
      <w:r w:rsidR="00122530">
        <w:rPr>
          <w:rFonts w:ascii="Arial" w:hAnsi="Arial" w:cs="Arial"/>
          <w:b/>
          <w:noProof/>
          <w:lang w:eastAsia="en-US"/>
        </w:rPr>
        <w:tab/>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sidRPr="00FD27FA">
        <w:rPr>
          <w:rFonts w:ascii="Arial" w:hAnsi="Arial" w:cs="Arial"/>
          <w:b/>
          <w:noProof/>
          <w:lang w:eastAsia="en-US"/>
        </w:rPr>
        <w:t>R1-</w:t>
      </w:r>
      <w:r w:rsidR="00122530">
        <w:rPr>
          <w:rFonts w:ascii="Arial" w:eastAsia="맑은 고딕" w:hAnsi="Arial" w:cs="Arial"/>
          <w:b/>
          <w:noProof/>
          <w:lang w:eastAsia="ko-KR"/>
        </w:rPr>
        <w:t>16</w:t>
      </w:r>
      <w:r w:rsidR="007A2C55" w:rsidRPr="007A2C55">
        <w:rPr>
          <w:rFonts w:ascii="Arial" w:eastAsia="맑은 고딕" w:hAnsi="Arial" w:cs="Arial"/>
          <w:b/>
          <w:noProof/>
          <w:lang w:eastAsia="ko-KR"/>
        </w:rPr>
        <w:t>6949</w:t>
      </w:r>
    </w:p>
    <w:p w14:paraId="42CAFC8A" w14:textId="7712ACF8" w:rsidR="00AF7772" w:rsidRPr="00FD27FA" w:rsidRDefault="00370CAC" w:rsidP="00AF7772">
      <w:pPr>
        <w:widowControl w:val="0"/>
        <w:tabs>
          <w:tab w:val="left" w:pos="1985"/>
        </w:tabs>
        <w:spacing w:afterLines="15" w:after="36"/>
        <w:rPr>
          <w:rFonts w:ascii="Arial" w:hAnsi="Arial" w:cs="Arial"/>
          <w:b/>
          <w:noProof/>
        </w:rPr>
      </w:pPr>
      <w:r>
        <w:rPr>
          <w:rFonts w:ascii="Arial" w:eastAsia="MS Mincho" w:hAnsi="Arial" w:cs="Arial"/>
          <w:b/>
          <w:bCs/>
          <w:szCs w:val="24"/>
        </w:rPr>
        <w:t>Gothenburg</w:t>
      </w:r>
      <w:r w:rsidR="003D6EB8" w:rsidRPr="00917FAB">
        <w:rPr>
          <w:rFonts w:ascii="Arial" w:eastAsia="MS Mincho" w:hAnsi="Arial" w:cs="Arial"/>
          <w:b/>
          <w:bCs/>
          <w:szCs w:val="24"/>
        </w:rPr>
        <w:t>,</w:t>
      </w:r>
      <w:r w:rsidR="00296692">
        <w:rPr>
          <w:rFonts w:ascii="Arial" w:eastAsia="MS Mincho" w:hAnsi="Arial" w:cs="Arial"/>
          <w:b/>
          <w:bCs/>
          <w:szCs w:val="24"/>
        </w:rPr>
        <w:t xml:space="preserve"> </w:t>
      </w:r>
      <w:r>
        <w:rPr>
          <w:rFonts w:ascii="Arial" w:eastAsia="MS Mincho" w:hAnsi="Arial" w:cs="Arial"/>
          <w:b/>
          <w:bCs/>
          <w:szCs w:val="24"/>
        </w:rPr>
        <w:t>Sweden</w:t>
      </w:r>
      <w:r w:rsidR="00296692">
        <w:rPr>
          <w:rFonts w:ascii="Arial" w:eastAsia="MS Mincho" w:hAnsi="Arial" w:cs="Arial"/>
          <w:b/>
          <w:bCs/>
          <w:szCs w:val="24"/>
        </w:rPr>
        <w:t xml:space="preserve">, </w:t>
      </w:r>
      <w:r w:rsidR="00122530">
        <w:rPr>
          <w:rFonts w:ascii="Arial" w:hAnsi="Arial" w:cs="Arial"/>
          <w:b/>
          <w:szCs w:val="24"/>
          <w:lang w:eastAsia="ko-KR"/>
        </w:rPr>
        <w:t>2</w:t>
      </w:r>
      <w:r>
        <w:rPr>
          <w:rFonts w:ascii="Arial" w:hAnsi="Arial" w:cs="Arial"/>
          <w:b/>
          <w:szCs w:val="24"/>
          <w:lang w:eastAsia="ko-KR"/>
        </w:rPr>
        <w:t>2nd</w:t>
      </w:r>
      <w:r w:rsidR="003219A3">
        <w:rPr>
          <w:rFonts w:ascii="Arial" w:hAnsi="Arial" w:cs="Arial"/>
          <w:b/>
          <w:szCs w:val="24"/>
          <w:lang w:eastAsia="ko-KR"/>
        </w:rPr>
        <w:t>-</w:t>
      </w:r>
      <w:r w:rsidR="00122530">
        <w:rPr>
          <w:rFonts w:ascii="Arial" w:hAnsi="Arial" w:cs="Arial"/>
          <w:b/>
          <w:szCs w:val="24"/>
          <w:lang w:eastAsia="ko-KR"/>
        </w:rPr>
        <w:t>2</w:t>
      </w:r>
      <w:r>
        <w:rPr>
          <w:rFonts w:ascii="Arial" w:hAnsi="Arial" w:cs="Arial"/>
          <w:b/>
          <w:szCs w:val="24"/>
          <w:lang w:eastAsia="ko-KR"/>
        </w:rPr>
        <w:t>6</w:t>
      </w:r>
      <w:r w:rsidR="00296692">
        <w:rPr>
          <w:rFonts w:ascii="Arial" w:hAnsi="Arial" w:cs="Arial"/>
          <w:b/>
          <w:szCs w:val="24"/>
          <w:lang w:eastAsia="ko-KR"/>
        </w:rPr>
        <w:t>th</w:t>
      </w:r>
      <w:r w:rsidR="003D6EB8" w:rsidRPr="003D6EB8">
        <w:rPr>
          <w:rFonts w:ascii="Arial" w:hAnsi="Arial" w:cs="Arial"/>
          <w:b/>
          <w:szCs w:val="24"/>
          <w:lang w:eastAsia="ko-KR"/>
        </w:rPr>
        <w:t xml:space="preserve"> </w:t>
      </w:r>
      <w:r>
        <w:rPr>
          <w:rFonts w:ascii="Arial" w:hAnsi="Arial" w:cs="Arial"/>
          <w:b/>
          <w:szCs w:val="24"/>
          <w:lang w:eastAsia="ko-KR"/>
        </w:rPr>
        <w:t>August</w:t>
      </w:r>
      <w:r w:rsidR="002C30E7" w:rsidRPr="00FD27FA">
        <w:rPr>
          <w:rFonts w:ascii="Arial" w:hAnsi="Arial" w:cs="Arial"/>
          <w:b/>
          <w:lang w:eastAsia="ko-KR"/>
        </w:rPr>
        <w:t xml:space="preserve"> </w:t>
      </w:r>
      <w:r w:rsidR="00365CF2" w:rsidRPr="00FD27FA">
        <w:rPr>
          <w:rFonts w:ascii="Arial" w:hAnsi="Arial" w:cs="Arial"/>
          <w:b/>
          <w:lang w:eastAsia="ko-KR"/>
        </w:rPr>
        <w:t>201</w:t>
      </w:r>
      <w:r w:rsidR="003219A3">
        <w:rPr>
          <w:rFonts w:ascii="Arial" w:hAnsi="Arial" w:cs="Arial"/>
          <w:b/>
          <w:lang w:eastAsia="ko-KR"/>
        </w:rPr>
        <w:t>6</w:t>
      </w:r>
    </w:p>
    <w:p w14:paraId="00471E17" w14:textId="77777777" w:rsidR="00AF7772" w:rsidRPr="00370CAC"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5F81E1C3"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t xml:space="preserve">Band agnostic synchronization </w:t>
      </w:r>
      <w:r w:rsidR="00D06C27">
        <w:rPr>
          <w:rFonts w:cs="Arial"/>
          <w:b/>
          <w:lang w:eastAsia="ko-KR"/>
        </w:rPr>
        <w:t>and cell search</w:t>
      </w:r>
    </w:p>
    <w:p w14:paraId="3EA48139" w14:textId="090A452C"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96692">
        <w:rPr>
          <w:rFonts w:cs="Arial"/>
          <w:b/>
          <w:lang w:eastAsia="ko-KR"/>
        </w:rPr>
        <w:t>8</w:t>
      </w:r>
      <w:r w:rsidR="003219A3">
        <w:rPr>
          <w:rFonts w:cs="Arial"/>
          <w:b/>
          <w:lang w:eastAsia="ko-KR"/>
        </w:rPr>
        <w:t>.</w:t>
      </w:r>
      <w:r w:rsidR="00296692">
        <w:rPr>
          <w:rFonts w:cs="Arial"/>
          <w:b/>
          <w:lang w:eastAsia="ko-KR"/>
        </w:rPr>
        <w:t>1</w:t>
      </w:r>
      <w:r w:rsidR="003219A3">
        <w:rPr>
          <w:rFonts w:cs="Arial"/>
          <w:b/>
          <w:lang w:eastAsia="ko-KR"/>
        </w:rPr>
        <w:t>.</w:t>
      </w:r>
      <w:r w:rsidR="00370CAC">
        <w:rPr>
          <w:rFonts w:cs="Arial"/>
          <w:b/>
          <w:lang w:eastAsia="ko-KR"/>
        </w:rPr>
        <w:t>6</w:t>
      </w:r>
    </w:p>
    <w:p w14:paraId="47FE460B" w14:textId="74EE6C9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57FBCB8D" w:rsidR="00EA12EB" w:rsidRDefault="004A07BE" w:rsidP="0015559E">
      <w:pPr>
        <w:rPr>
          <w:szCs w:val="22"/>
        </w:rPr>
      </w:pPr>
      <w:r>
        <w:rPr>
          <w:szCs w:val="22"/>
        </w:rPr>
        <w:t>T</w:t>
      </w:r>
      <w:r w:rsidR="00F524C3">
        <w:rPr>
          <w:szCs w:val="22"/>
        </w:rPr>
        <w:t xml:space="preserve">he </w:t>
      </w:r>
      <w:r w:rsidR="00EA12EB">
        <w:rPr>
          <w:szCs w:val="22"/>
        </w:rPr>
        <w:t>agreement on numerology in RAN1 #84bis meeting</w:t>
      </w:r>
      <w:r w:rsidR="0083141D">
        <w:rPr>
          <w:szCs w:val="22"/>
        </w:rPr>
        <w:t xml:space="preserve"> [1]</w:t>
      </w:r>
      <w:r w:rsidR="00EA12EB">
        <w:rPr>
          <w:szCs w:val="22"/>
        </w:rPr>
        <w:t xml:space="preserve"> is as follows:</w:t>
      </w:r>
    </w:p>
    <w:p w14:paraId="687681FB" w14:textId="77777777" w:rsidR="00EA12EB" w:rsidRPr="001B48FD" w:rsidRDefault="00EA12EB" w:rsidP="00EA12EB">
      <w:pPr>
        <w:rPr>
          <w:rFonts w:eastAsia="MS Mincho"/>
          <w:b/>
          <w:u w:val="single"/>
          <w:lang w:val="en-US"/>
        </w:rPr>
      </w:pPr>
      <w:r w:rsidRPr="009225DB">
        <w:rPr>
          <w:rFonts w:eastAsia="MS Mincho"/>
          <w:b/>
          <w:highlight w:val="green"/>
          <w:u w:val="single"/>
          <w:lang w:val="en-US"/>
        </w:rPr>
        <w:t>Agreements:</w:t>
      </w:r>
    </w:p>
    <w:p w14:paraId="25655AEB" w14:textId="77777777" w:rsidR="00EA12EB" w:rsidRPr="00431316" w:rsidRDefault="00EA12EB" w:rsidP="00EA12EB">
      <w:pPr>
        <w:numPr>
          <w:ilvl w:val="0"/>
          <w:numId w:val="31"/>
        </w:numPr>
        <w:spacing w:line="240" w:lineRule="auto"/>
        <w:jc w:val="left"/>
        <w:rPr>
          <w:rFonts w:eastAsia="MS Mincho"/>
          <w:lang w:val="en-US"/>
        </w:rPr>
      </w:pPr>
      <w:r w:rsidRPr="001B48FD">
        <w:rPr>
          <w:rFonts w:eastAsia="MS Mincho"/>
        </w:rPr>
        <w:t xml:space="preserve">For the study of NR, RAN1 assumes that </w:t>
      </w:r>
      <w:r>
        <w:rPr>
          <w:rFonts w:eastAsia="MS Mincho"/>
        </w:rPr>
        <w:t>multiple (but not necessarily all) OFDM numerologies can apply to the same frequency range</w:t>
      </w:r>
    </w:p>
    <w:p w14:paraId="3C5DAFF4" w14:textId="77777777" w:rsidR="00EA12EB" w:rsidRPr="00431316" w:rsidRDefault="00EA12EB" w:rsidP="00EA12EB">
      <w:pPr>
        <w:numPr>
          <w:ilvl w:val="1"/>
          <w:numId w:val="31"/>
        </w:numPr>
        <w:spacing w:line="240" w:lineRule="auto"/>
        <w:jc w:val="left"/>
        <w:rPr>
          <w:rFonts w:eastAsia="MS Mincho"/>
          <w:lang w:val="en-US"/>
        </w:rPr>
      </w:pPr>
      <w:r>
        <w:rPr>
          <w:rFonts w:eastAsia="MS Mincho"/>
        </w:rPr>
        <w:t>Note: RAN1 does not assume to apply very low value of subcarrier spacing to very high carrier frequency</w:t>
      </w:r>
    </w:p>
    <w:p w14:paraId="68610FB2" w14:textId="77777777" w:rsidR="00431316" w:rsidRDefault="00431316" w:rsidP="00431316">
      <w:pPr>
        <w:rPr>
          <w:rFonts w:eastAsia="MS Mincho"/>
          <w:lang w:val="en-US"/>
        </w:rPr>
      </w:pPr>
    </w:p>
    <w:p w14:paraId="23A885DB" w14:textId="31FD3147" w:rsidR="00BB71CE" w:rsidRDefault="00EA12EB" w:rsidP="0015559E">
      <w:pPr>
        <w:rPr>
          <w:szCs w:val="22"/>
          <w:lang w:val="en-US" w:eastAsia="ko-KR"/>
        </w:rPr>
      </w:pPr>
      <w:r>
        <w:rPr>
          <w:szCs w:val="22"/>
          <w:lang w:val="en-US" w:eastAsia="ko-KR"/>
        </w:rPr>
        <w:t xml:space="preserve">It means that multiple numerology </w:t>
      </w:r>
      <w:proofErr w:type="gramStart"/>
      <w:r>
        <w:rPr>
          <w:szCs w:val="22"/>
          <w:lang w:val="en-US" w:eastAsia="ko-KR"/>
        </w:rPr>
        <w:t>can be used</w:t>
      </w:r>
      <w:proofErr w:type="gramEnd"/>
      <w:r>
        <w:rPr>
          <w:szCs w:val="22"/>
          <w:lang w:val="en-US" w:eastAsia="ko-KR"/>
        </w:rPr>
        <w:t xml:space="preserve"> in the same frequency band e</w:t>
      </w:r>
      <w:r>
        <w:rPr>
          <w:rFonts w:hint="eastAsia"/>
          <w:szCs w:val="22"/>
          <w:lang w:val="en-US" w:eastAsia="ko-KR"/>
        </w:rPr>
        <w:t xml:space="preserve">ven </w:t>
      </w:r>
      <w:r>
        <w:rPr>
          <w:szCs w:val="22"/>
          <w:lang w:val="en-US" w:eastAsia="ko-KR"/>
        </w:rPr>
        <w:t xml:space="preserve">in the case that mixed numerology is not considered. When a UE accesses the NR system, the UE does not have any information on the numerology. </w:t>
      </w:r>
      <w:r w:rsidR="00BB71CE">
        <w:rPr>
          <w:lang w:eastAsia="ko-KR"/>
        </w:rPr>
        <w:t xml:space="preserve">Therefore, </w:t>
      </w:r>
      <w:r w:rsidR="00D06C27">
        <w:rPr>
          <w:lang w:eastAsia="ko-KR"/>
        </w:rPr>
        <w:t>the UE cannot expect which numerology is</w:t>
      </w:r>
      <w:r w:rsidR="00BB71CE">
        <w:rPr>
          <w:lang w:eastAsia="ko-KR"/>
        </w:rPr>
        <w:t xml:space="preserve"> currently used</w:t>
      </w:r>
      <w:r w:rsidR="00D06C27">
        <w:rPr>
          <w:lang w:eastAsia="ko-KR"/>
        </w:rPr>
        <w:t xml:space="preserve">. If there were completely different synchronization </w:t>
      </w:r>
      <w:proofErr w:type="gramStart"/>
      <w:r w:rsidR="00D06C27">
        <w:rPr>
          <w:lang w:eastAsia="ko-KR"/>
        </w:rPr>
        <w:t>signals which</w:t>
      </w:r>
      <w:proofErr w:type="gramEnd"/>
      <w:r w:rsidR="00D06C27">
        <w:rPr>
          <w:lang w:eastAsia="ko-KR"/>
        </w:rPr>
        <w:t xml:space="preserve"> are uniquely associated with the different numerologies, the UE would be required to have all of different</w:t>
      </w:r>
      <w:r w:rsidR="00BB71CE">
        <w:rPr>
          <w:lang w:eastAsia="ko-KR"/>
        </w:rPr>
        <w:t xml:space="preserve"> synchronization signals implement</w:t>
      </w:r>
      <w:r w:rsidR="00D06C27">
        <w:rPr>
          <w:lang w:eastAsia="ko-KR"/>
        </w:rPr>
        <w:t>ed, in which case it would require running search algorithms considering all possible cases. It will increase computational complexity and/or cell search time. It will be desired for the UE to enable detecting which numerology is used without having all of different synchronization signal designs. Therefore, t</w:t>
      </w:r>
      <w:r>
        <w:rPr>
          <w:szCs w:val="22"/>
          <w:lang w:val="en-US" w:eastAsia="ko-KR"/>
        </w:rPr>
        <w:t xml:space="preserve">he band agnostic </w:t>
      </w:r>
      <w:r w:rsidR="00D06C27">
        <w:rPr>
          <w:szCs w:val="22"/>
          <w:lang w:val="en-US" w:eastAsia="ko-KR"/>
        </w:rPr>
        <w:t>design of synchronization signal</w:t>
      </w:r>
      <w:r w:rsidR="00BB71CE">
        <w:rPr>
          <w:szCs w:val="22"/>
          <w:lang w:val="en-US" w:eastAsia="ko-KR"/>
        </w:rPr>
        <w:t xml:space="preserve"> should be considered.</w:t>
      </w:r>
    </w:p>
    <w:p w14:paraId="5685EE6A" w14:textId="77777777" w:rsidR="00BB71CE" w:rsidRDefault="00BB71CE" w:rsidP="0015559E">
      <w:pPr>
        <w:rPr>
          <w:szCs w:val="22"/>
          <w:lang w:val="en-US" w:eastAsia="ko-KR"/>
        </w:rPr>
      </w:pPr>
    </w:p>
    <w:p w14:paraId="1A541AB3" w14:textId="79D93CD6" w:rsidR="00BB71CE" w:rsidRPr="00431316" w:rsidRDefault="00F13263" w:rsidP="00BB71CE">
      <w:pPr>
        <w:spacing w:line="240" w:lineRule="auto"/>
        <w:jc w:val="left"/>
        <w:rPr>
          <w:lang w:val="en-US" w:eastAsia="ko-KR"/>
        </w:rPr>
      </w:pPr>
      <w:r w:rsidRPr="00F13263">
        <w:rPr>
          <w:szCs w:val="22"/>
          <w:lang w:val="en-US" w:eastAsia="ko-KR"/>
        </w:rPr>
        <w:t xml:space="preserve">In addition </w:t>
      </w:r>
      <w:r w:rsidR="00335776">
        <w:rPr>
          <w:szCs w:val="22"/>
          <w:lang w:val="en-US" w:eastAsia="ko-KR"/>
        </w:rPr>
        <w:t xml:space="preserve">to the band </w:t>
      </w:r>
      <w:r w:rsidRPr="00F13263">
        <w:rPr>
          <w:szCs w:val="22"/>
          <w:lang w:val="en-US" w:eastAsia="ko-KR"/>
        </w:rPr>
        <w:t>agnostic</w:t>
      </w:r>
      <w:r>
        <w:rPr>
          <w:szCs w:val="22"/>
          <w:lang w:val="en-US" w:eastAsia="ko-KR"/>
        </w:rPr>
        <w:t xml:space="preserve"> numerology specification, </w:t>
      </w:r>
      <w:r w:rsidR="00BB71CE">
        <w:rPr>
          <w:lang w:val="en-US" w:eastAsia="ko-KR"/>
        </w:rPr>
        <w:t xml:space="preserve">the following working assumption </w:t>
      </w:r>
      <w:r w:rsidR="0041714B">
        <w:rPr>
          <w:lang w:val="en-US" w:eastAsia="ko-KR"/>
        </w:rPr>
        <w:t xml:space="preserve">and agreement </w:t>
      </w:r>
      <w:proofErr w:type="gramStart"/>
      <w:r w:rsidR="00BB71CE">
        <w:rPr>
          <w:lang w:val="en-US" w:eastAsia="ko-KR"/>
        </w:rPr>
        <w:t>ha</w:t>
      </w:r>
      <w:r w:rsidR="0041714B">
        <w:rPr>
          <w:lang w:val="en-US" w:eastAsia="ko-KR"/>
        </w:rPr>
        <w:t>ve</w:t>
      </w:r>
      <w:r w:rsidR="00BB71CE">
        <w:rPr>
          <w:lang w:val="en-US" w:eastAsia="ko-KR"/>
        </w:rPr>
        <w:t xml:space="preserve"> been made</w:t>
      </w:r>
      <w:proofErr w:type="gramEnd"/>
      <w:r w:rsidR="00BB71CE">
        <w:rPr>
          <w:lang w:val="en-US" w:eastAsia="ko-KR"/>
        </w:rPr>
        <w:t xml:space="preserve"> </w:t>
      </w:r>
      <w:r>
        <w:rPr>
          <w:lang w:val="en-US" w:eastAsia="ko-KR"/>
        </w:rPr>
        <w:t xml:space="preserve">in RAN 1#85 meeting </w:t>
      </w:r>
      <w:r w:rsidR="00BB71CE">
        <w:rPr>
          <w:rFonts w:hint="eastAsia"/>
          <w:lang w:val="en-US" w:eastAsia="ko-KR"/>
        </w:rPr>
        <w:t>[2]</w:t>
      </w:r>
      <w:r w:rsidR="00BB71CE">
        <w:rPr>
          <w:lang w:val="en-US" w:eastAsia="ko-KR"/>
        </w:rPr>
        <w:t>.</w:t>
      </w:r>
    </w:p>
    <w:p w14:paraId="2791162D" w14:textId="77777777" w:rsidR="00BB71CE" w:rsidRPr="009E29F6" w:rsidRDefault="00BB71CE" w:rsidP="00BB71CE">
      <w:pPr>
        <w:rPr>
          <w:rFonts w:eastAsia="MS Mincho"/>
          <w:b/>
          <w:u w:val="single"/>
        </w:rPr>
      </w:pPr>
      <w:r w:rsidRPr="004A7730">
        <w:rPr>
          <w:rFonts w:eastAsia="MS Mincho" w:hint="eastAsia"/>
          <w:b/>
          <w:highlight w:val="darkYellow"/>
          <w:u w:val="single"/>
        </w:rPr>
        <w:t>Working assumptions:</w:t>
      </w:r>
    </w:p>
    <w:p w14:paraId="040C8B53" w14:textId="77777777" w:rsidR="00BB71CE" w:rsidRPr="00431316" w:rsidRDefault="00BB71CE" w:rsidP="00BB71CE">
      <w:pPr>
        <w:numPr>
          <w:ilvl w:val="0"/>
          <w:numId w:val="31"/>
        </w:numPr>
        <w:spacing w:line="240" w:lineRule="auto"/>
        <w:jc w:val="left"/>
        <w:rPr>
          <w:rFonts w:eastAsia="MS Mincho"/>
        </w:rPr>
      </w:pPr>
      <w:r w:rsidRPr="00431316">
        <w:rPr>
          <w:rFonts w:eastAsia="MS Mincho"/>
        </w:rPr>
        <w:t xml:space="preserve">RAN1 concludes on alternative 1 (15 kHz) as the baseline </w:t>
      </w:r>
      <w:r w:rsidRPr="0042500D">
        <w:rPr>
          <w:rFonts w:eastAsia="MS Mincho" w:hint="eastAsia"/>
        </w:rPr>
        <w:t xml:space="preserve">design assumption </w:t>
      </w:r>
      <w:r w:rsidRPr="00431316">
        <w:rPr>
          <w:rFonts w:eastAsia="MS Mincho"/>
        </w:rPr>
        <w:t>for the NR numerology</w:t>
      </w:r>
    </w:p>
    <w:p w14:paraId="7049B3DC" w14:textId="77777777" w:rsidR="00BB71CE" w:rsidRPr="00431316" w:rsidRDefault="00BB71CE" w:rsidP="00BB71CE">
      <w:pPr>
        <w:numPr>
          <w:ilvl w:val="0"/>
          <w:numId w:val="31"/>
        </w:numPr>
        <w:spacing w:line="240" w:lineRule="auto"/>
        <w:jc w:val="left"/>
        <w:rPr>
          <w:rFonts w:eastAsia="MS Mincho"/>
        </w:rPr>
      </w:pPr>
      <w:r w:rsidRPr="00431316">
        <w:rPr>
          <w:rFonts w:eastAsia="MS Mincho"/>
        </w:rPr>
        <w:t>RAN1 concludes on scale factors N =2</w:t>
      </w:r>
      <w:r w:rsidRPr="00BB71CE">
        <w:rPr>
          <w:rFonts w:eastAsia="MS Mincho"/>
          <w:vertAlign w:val="superscript"/>
        </w:rPr>
        <w:t>n</w:t>
      </w:r>
      <w:r w:rsidRPr="00431316">
        <w:rPr>
          <w:rFonts w:eastAsia="MS Mincho"/>
        </w:rPr>
        <w:t xml:space="preserve"> </w:t>
      </w:r>
      <w:r w:rsidRPr="0042500D">
        <w:rPr>
          <w:rFonts w:eastAsia="MS Mincho" w:hint="eastAsia"/>
        </w:rPr>
        <w:t xml:space="preserve">for subcarrier spacing </w:t>
      </w:r>
      <w:r w:rsidRPr="00431316">
        <w:rPr>
          <w:rFonts w:eastAsia="MS Mincho"/>
        </w:rPr>
        <w:t xml:space="preserve">as the baseline </w:t>
      </w:r>
      <w:r w:rsidRPr="0042500D">
        <w:rPr>
          <w:rFonts w:eastAsia="MS Mincho" w:hint="eastAsia"/>
        </w:rPr>
        <w:t xml:space="preserve">design assumption </w:t>
      </w:r>
      <w:r w:rsidRPr="00431316">
        <w:rPr>
          <w:rFonts w:eastAsia="MS Mincho"/>
        </w:rPr>
        <w:t>for the NR numerology</w:t>
      </w:r>
    </w:p>
    <w:p w14:paraId="78B683E7" w14:textId="77777777" w:rsidR="0041714B" w:rsidRPr="008C1930" w:rsidRDefault="0041714B" w:rsidP="0041714B">
      <w:pPr>
        <w:rPr>
          <w:rFonts w:eastAsia="MS Mincho"/>
          <w:b/>
          <w:u w:val="single"/>
          <w:lang w:val="en-US"/>
        </w:rPr>
      </w:pPr>
      <w:r w:rsidRPr="00092402">
        <w:rPr>
          <w:rFonts w:eastAsia="MS Mincho" w:hint="eastAsia"/>
          <w:b/>
          <w:highlight w:val="green"/>
          <w:u w:val="single"/>
          <w:lang w:val="en-US"/>
        </w:rPr>
        <w:t>Agreements:</w:t>
      </w:r>
    </w:p>
    <w:p w14:paraId="0CEF393F" w14:textId="77777777" w:rsidR="0041714B" w:rsidRPr="008C1930" w:rsidRDefault="0041714B" w:rsidP="0041714B">
      <w:pPr>
        <w:numPr>
          <w:ilvl w:val="0"/>
          <w:numId w:val="34"/>
        </w:numPr>
        <w:spacing w:line="240" w:lineRule="auto"/>
        <w:jc w:val="left"/>
        <w:rPr>
          <w:rFonts w:eastAsia="MS Mincho"/>
          <w:lang w:val="en-US"/>
        </w:rPr>
      </w:pPr>
      <w:r w:rsidRPr="008C1930">
        <w:rPr>
          <w:rFonts w:eastAsia="MS Mincho"/>
          <w:lang w:val="en-US"/>
        </w:rPr>
        <w:t>For a NR carrier (from network perspective) using multiple numerologies, at least the following</w:t>
      </w:r>
      <w:r>
        <w:rPr>
          <w:rFonts w:eastAsia="MS Mincho" w:hint="eastAsia"/>
          <w:lang w:val="en-US"/>
        </w:rPr>
        <w:t xml:space="preserve"> is for further study</w:t>
      </w:r>
    </w:p>
    <w:p w14:paraId="5073D0F8" w14:textId="77777777" w:rsidR="0041714B" w:rsidRPr="008C1930" w:rsidRDefault="0041714B" w:rsidP="0041714B">
      <w:pPr>
        <w:numPr>
          <w:ilvl w:val="1"/>
          <w:numId w:val="34"/>
        </w:numPr>
        <w:spacing w:line="240" w:lineRule="auto"/>
        <w:jc w:val="left"/>
        <w:rPr>
          <w:rFonts w:eastAsia="MS Mincho"/>
          <w:lang w:val="en-US"/>
        </w:rPr>
      </w:pPr>
      <w:r w:rsidRPr="008C1930">
        <w:rPr>
          <w:rFonts w:eastAsia="MS Mincho"/>
          <w:lang w:val="en-US"/>
        </w:rPr>
        <w:t>multiple frequency</w:t>
      </w:r>
      <w:r>
        <w:rPr>
          <w:rFonts w:eastAsia="MS Mincho" w:hint="eastAsia"/>
          <w:lang w:val="en-US"/>
        </w:rPr>
        <w:t>/time</w:t>
      </w:r>
      <w:r w:rsidRPr="008C1930">
        <w:rPr>
          <w:rFonts w:eastAsia="MS Mincho"/>
          <w:lang w:val="en-US"/>
        </w:rPr>
        <w:t xml:space="preserve"> portions using different numerologies share a synchronization signal</w:t>
      </w:r>
    </w:p>
    <w:p w14:paraId="0624A4F2" w14:textId="77777777" w:rsidR="0041714B" w:rsidRPr="008C1930" w:rsidRDefault="0041714B" w:rsidP="0041714B">
      <w:pPr>
        <w:numPr>
          <w:ilvl w:val="2"/>
          <w:numId w:val="34"/>
        </w:numPr>
        <w:spacing w:line="240" w:lineRule="auto"/>
        <w:jc w:val="left"/>
        <w:rPr>
          <w:rFonts w:eastAsia="MS Mincho"/>
          <w:lang w:val="en-US"/>
        </w:rPr>
      </w:pPr>
      <w:r w:rsidRPr="008C1930">
        <w:rPr>
          <w:rFonts w:eastAsia="MS Mincho"/>
          <w:lang w:val="en-US"/>
        </w:rPr>
        <w:t>Note: The synchronization signal refers to the signal itself and the time-frequency resource used to transmit the synchronization signal</w:t>
      </w:r>
    </w:p>
    <w:p w14:paraId="1DFFC85E" w14:textId="77777777" w:rsidR="0041714B" w:rsidRPr="00BB71CE" w:rsidRDefault="0041714B" w:rsidP="0015559E">
      <w:pPr>
        <w:rPr>
          <w:rFonts w:hint="eastAsia"/>
          <w:szCs w:val="22"/>
          <w:lang w:eastAsia="ko-KR"/>
        </w:rPr>
      </w:pPr>
    </w:p>
    <w:p w14:paraId="167E2A6C" w14:textId="7C850BB4" w:rsidR="00EA12EB" w:rsidRPr="00EA12EB" w:rsidRDefault="00F13263" w:rsidP="0015559E">
      <w:pPr>
        <w:rPr>
          <w:szCs w:val="22"/>
          <w:lang w:val="en-US" w:eastAsia="ko-KR"/>
        </w:rPr>
      </w:pPr>
      <w:r>
        <w:rPr>
          <w:szCs w:val="22"/>
          <w:lang w:val="en-US" w:eastAsia="ko-KR"/>
        </w:rPr>
        <w:t xml:space="preserve">The </w:t>
      </w:r>
      <w:r w:rsidRPr="00431316">
        <w:rPr>
          <w:rFonts w:eastAsia="MS Mincho"/>
        </w:rPr>
        <w:t>2</w:t>
      </w:r>
      <w:r w:rsidRPr="00BB71CE">
        <w:rPr>
          <w:rFonts w:eastAsia="MS Mincho"/>
          <w:vertAlign w:val="superscript"/>
        </w:rPr>
        <w:t>n</w:t>
      </w:r>
      <w:r>
        <w:rPr>
          <w:szCs w:val="22"/>
          <w:lang w:val="en-US" w:eastAsia="ko-KR"/>
        </w:rPr>
        <w:t xml:space="preserve"> scaling factor </w:t>
      </w:r>
      <w:r w:rsidR="0041714B">
        <w:rPr>
          <w:szCs w:val="22"/>
          <w:lang w:val="en-US" w:eastAsia="ko-KR"/>
        </w:rPr>
        <w:t xml:space="preserve">and sharing a synchronization signal </w:t>
      </w:r>
      <w:bookmarkStart w:id="2" w:name="_GoBack"/>
      <w:bookmarkEnd w:id="2"/>
      <w:r>
        <w:rPr>
          <w:szCs w:val="22"/>
          <w:lang w:val="en-US" w:eastAsia="ko-KR"/>
        </w:rPr>
        <w:t xml:space="preserve">will be beneficial for the design of band agnostic synchronization signal. </w:t>
      </w:r>
      <w:r w:rsidR="00EA12EB">
        <w:rPr>
          <w:szCs w:val="22"/>
          <w:lang w:val="en-US" w:eastAsia="ko-KR"/>
        </w:rPr>
        <w:t>In this contribution, we discuss the design of synchronization signal in terms of band agnostic.</w:t>
      </w:r>
    </w:p>
    <w:p w14:paraId="70C63877" w14:textId="4D9B0CB7" w:rsidR="0096223D" w:rsidRPr="00A816C6" w:rsidRDefault="0096223D" w:rsidP="006E2871"/>
    <w:bookmarkEnd w:id="1"/>
    <w:p w14:paraId="03CCBFFE" w14:textId="431CEFC2"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lastRenderedPageBreak/>
        <w:t>Design of Synchronization Signal</w:t>
      </w:r>
    </w:p>
    <w:p w14:paraId="275D44F8" w14:textId="5AA7722B" w:rsidR="008F5E54" w:rsidRDefault="00E92CBE" w:rsidP="008F5E54">
      <w:pPr>
        <w:rPr>
          <w:lang w:eastAsia="ko-KR"/>
        </w:rPr>
      </w:pPr>
      <w:r>
        <w:rPr>
          <w:lang w:eastAsia="ko-KR"/>
        </w:rPr>
        <w:t xml:space="preserve">In this section, we discuss the design of synchronization </w:t>
      </w:r>
      <w:proofErr w:type="gramStart"/>
      <w:r>
        <w:rPr>
          <w:lang w:eastAsia="ko-KR"/>
        </w:rPr>
        <w:t>signal which</w:t>
      </w:r>
      <w:proofErr w:type="gramEnd"/>
      <w:r>
        <w:rPr>
          <w:lang w:eastAsia="ko-KR"/>
        </w:rPr>
        <w:t xml:space="preserve"> does not require knowledge of numerology</w:t>
      </w:r>
      <w:r w:rsidR="00F3086C">
        <w:rPr>
          <w:lang w:eastAsia="ko-KR"/>
        </w:rPr>
        <w:t xml:space="preserve"> in advance</w:t>
      </w:r>
      <w:r>
        <w:rPr>
          <w:lang w:eastAsia="ko-KR"/>
        </w:rPr>
        <w:t>.</w:t>
      </w:r>
      <w:r w:rsidR="00D01628">
        <w:rPr>
          <w:lang w:eastAsia="ko-KR"/>
        </w:rPr>
        <w:t xml:space="preserve"> For this, the </w:t>
      </w:r>
      <w:r w:rsidR="00D06C27">
        <w:rPr>
          <w:lang w:eastAsia="ko-KR"/>
        </w:rPr>
        <w:t xml:space="preserve">subcarrier </w:t>
      </w:r>
      <w:r w:rsidR="00D01628">
        <w:rPr>
          <w:lang w:eastAsia="ko-KR"/>
        </w:rPr>
        <w:t xml:space="preserve">mapping of synchronization sequence considering </w:t>
      </w:r>
      <w:r w:rsidR="00D06C27">
        <w:rPr>
          <w:lang w:eastAsia="ko-KR"/>
        </w:rPr>
        <w:t xml:space="preserve">different </w:t>
      </w:r>
      <w:r w:rsidR="00D01628">
        <w:rPr>
          <w:lang w:eastAsia="ko-KR"/>
        </w:rPr>
        <w:t xml:space="preserve">subcarrier spacing </w:t>
      </w:r>
      <w:r w:rsidR="00D06C27">
        <w:rPr>
          <w:lang w:eastAsia="ko-KR"/>
        </w:rPr>
        <w:t xml:space="preserve">according to different numerologies </w:t>
      </w:r>
      <w:r w:rsidR="00D01628">
        <w:rPr>
          <w:lang w:eastAsia="ko-KR"/>
        </w:rPr>
        <w:t>should be considered.</w:t>
      </w:r>
    </w:p>
    <w:p w14:paraId="3C5ACC55" w14:textId="282F90DC" w:rsidR="008F5E54" w:rsidRDefault="00CD4243" w:rsidP="00E92CBE">
      <w:pPr>
        <w:rPr>
          <w:lang w:eastAsia="ko-KR"/>
        </w:rPr>
      </w:pPr>
      <w:r>
        <w:rPr>
          <w:lang w:eastAsia="ko-KR"/>
        </w:rPr>
        <w:t>When the largest subcarrier spacing is used, a</w:t>
      </w:r>
      <w:r w:rsidR="00E92CBE">
        <w:rPr>
          <w:lang w:eastAsia="ko-KR"/>
        </w:rPr>
        <w:t xml:space="preserve"> set of synchronization sequence map</w:t>
      </w:r>
      <w:r>
        <w:rPr>
          <w:lang w:eastAsia="ko-KR"/>
        </w:rPr>
        <w:t>s</w:t>
      </w:r>
      <w:r w:rsidR="00E92CBE">
        <w:rPr>
          <w:lang w:eastAsia="ko-KR"/>
        </w:rPr>
        <w:t xml:space="preserve"> onto a</w:t>
      </w:r>
      <w:r w:rsidR="00D01628">
        <w:rPr>
          <w:lang w:eastAsia="ko-KR"/>
        </w:rPr>
        <w:t xml:space="preserve"> set of</w:t>
      </w:r>
      <w:r w:rsidR="00E92CBE">
        <w:rPr>
          <w:lang w:eastAsia="ko-KR"/>
        </w:rPr>
        <w:t xml:space="preserve"> </w:t>
      </w:r>
      <w:r w:rsidR="00764D1F">
        <w:rPr>
          <w:lang w:eastAsia="ko-KR"/>
        </w:rPr>
        <w:t>‘</w:t>
      </w:r>
      <w:r w:rsidR="00F3086C">
        <w:rPr>
          <w:lang w:eastAsia="ko-KR"/>
        </w:rPr>
        <w:t>M</w:t>
      </w:r>
      <w:r w:rsidR="00764D1F">
        <w:rPr>
          <w:lang w:eastAsia="ko-KR"/>
        </w:rPr>
        <w:t xml:space="preserve">’ </w:t>
      </w:r>
      <w:r w:rsidR="00E92CBE">
        <w:rPr>
          <w:lang w:eastAsia="ko-KR"/>
        </w:rPr>
        <w:t>contiguous</w:t>
      </w:r>
      <w:r w:rsidR="00D01628">
        <w:rPr>
          <w:lang w:eastAsia="ko-KR"/>
        </w:rPr>
        <w:t xml:space="preserve"> subcarriers. </w:t>
      </w:r>
      <w:r>
        <w:rPr>
          <w:lang w:eastAsia="ko-KR"/>
        </w:rPr>
        <w:t>In case of t</w:t>
      </w:r>
      <w:r w:rsidR="00D01628">
        <w:rPr>
          <w:lang w:eastAsia="ko-KR"/>
        </w:rPr>
        <w:t>he second large</w:t>
      </w:r>
      <w:r>
        <w:rPr>
          <w:lang w:eastAsia="ko-KR"/>
        </w:rPr>
        <w:t>st</w:t>
      </w:r>
      <w:r w:rsidR="00D01628">
        <w:rPr>
          <w:lang w:eastAsia="ko-KR"/>
        </w:rPr>
        <w:t xml:space="preserve"> subcarrier spacing</w:t>
      </w:r>
      <w:r>
        <w:rPr>
          <w:lang w:eastAsia="ko-KR"/>
        </w:rPr>
        <w:t>, the same synchronization sequence</w:t>
      </w:r>
      <w:r w:rsidR="00764D1F">
        <w:rPr>
          <w:lang w:eastAsia="ko-KR"/>
        </w:rPr>
        <w:t xml:space="preserve"> maps onto a set of ‘2</w:t>
      </w:r>
      <w:r w:rsidR="00F3086C">
        <w:rPr>
          <w:lang w:eastAsia="ko-KR"/>
        </w:rPr>
        <w:t>M</w:t>
      </w:r>
      <w:r w:rsidR="00764D1F">
        <w:rPr>
          <w:lang w:eastAsia="ko-KR"/>
        </w:rPr>
        <w:t xml:space="preserve">’ contiguous subcarriers in such a way that every </w:t>
      </w:r>
      <w:r w:rsidR="003A0661">
        <w:rPr>
          <w:lang w:eastAsia="ko-KR"/>
        </w:rPr>
        <w:t>2</w:t>
      </w:r>
      <w:r w:rsidR="003A0661" w:rsidRPr="003A0661">
        <w:rPr>
          <w:lang w:eastAsia="ko-KR"/>
        </w:rPr>
        <w:t>nd</w:t>
      </w:r>
      <w:r w:rsidR="003A0661">
        <w:rPr>
          <w:lang w:eastAsia="ko-KR"/>
        </w:rPr>
        <w:t xml:space="preserve"> one</w:t>
      </w:r>
      <w:r w:rsidR="00764D1F">
        <w:rPr>
          <w:lang w:eastAsia="ko-KR"/>
        </w:rPr>
        <w:t xml:space="preserve"> </w:t>
      </w:r>
      <w:r w:rsidR="003A0661">
        <w:rPr>
          <w:lang w:eastAsia="ko-KR"/>
        </w:rPr>
        <w:t>of ‘2</w:t>
      </w:r>
      <w:r w:rsidR="00F3086C">
        <w:rPr>
          <w:lang w:eastAsia="ko-KR"/>
        </w:rPr>
        <w:t>M</w:t>
      </w:r>
      <w:r w:rsidR="003A0661">
        <w:rPr>
          <w:lang w:eastAsia="ko-KR"/>
        </w:rPr>
        <w:t xml:space="preserve">’ subcarriers </w:t>
      </w:r>
      <w:r w:rsidR="00764D1F">
        <w:rPr>
          <w:lang w:eastAsia="ko-KR"/>
        </w:rPr>
        <w:t xml:space="preserve">carries </w:t>
      </w:r>
      <w:r w:rsidR="003A0661">
        <w:rPr>
          <w:lang w:eastAsia="ko-KR"/>
        </w:rPr>
        <w:t>the synchronization sequence and remaining ones of ‘2</w:t>
      </w:r>
      <w:r w:rsidR="00F3086C">
        <w:rPr>
          <w:lang w:eastAsia="ko-KR"/>
        </w:rPr>
        <w:t>M</w:t>
      </w:r>
      <w:r w:rsidR="003A0661">
        <w:rPr>
          <w:lang w:eastAsia="ko-KR"/>
        </w:rPr>
        <w:t>’ subcarriers have zero values. If m-</w:t>
      </w:r>
      <w:proofErr w:type="spellStart"/>
      <w:r w:rsidR="003A0661">
        <w:rPr>
          <w:lang w:eastAsia="ko-KR"/>
        </w:rPr>
        <w:t>th</w:t>
      </w:r>
      <w:proofErr w:type="spellEnd"/>
      <w:r w:rsidR="003A0661">
        <w:rPr>
          <w:lang w:eastAsia="ko-KR"/>
        </w:rPr>
        <w:t xml:space="preserve"> largest subcarrier spacing is used, the same synchronization sequence maps onto a set of ‘</w:t>
      </w:r>
      <w:proofErr w:type="spellStart"/>
      <w:r w:rsidR="003A0661">
        <w:rPr>
          <w:lang w:eastAsia="ko-KR"/>
        </w:rPr>
        <w:t>m</w:t>
      </w:r>
      <w:r w:rsidR="00F3086C">
        <w:rPr>
          <w:lang w:eastAsia="ko-KR"/>
        </w:rPr>
        <w:t>M</w:t>
      </w:r>
      <w:proofErr w:type="spellEnd"/>
      <w:r w:rsidR="003A0661">
        <w:rPr>
          <w:lang w:eastAsia="ko-KR"/>
        </w:rPr>
        <w:t>’ contiguous subcarriers such that every 2</w:t>
      </w:r>
      <w:r w:rsidR="003A0661" w:rsidRPr="003A0661">
        <w:rPr>
          <w:vertAlign w:val="superscript"/>
          <w:lang w:eastAsia="ko-KR"/>
        </w:rPr>
        <w:t>m-1</w:t>
      </w:r>
      <w:r w:rsidR="003A0661" w:rsidRPr="003A0661">
        <w:rPr>
          <w:lang w:eastAsia="ko-KR"/>
        </w:rPr>
        <w:t>th</w:t>
      </w:r>
      <w:r w:rsidR="003A0661">
        <w:rPr>
          <w:lang w:eastAsia="ko-KR"/>
        </w:rPr>
        <w:t xml:space="preserve"> one of ‘</w:t>
      </w:r>
      <w:proofErr w:type="spellStart"/>
      <w:r w:rsidR="003A0661">
        <w:rPr>
          <w:lang w:eastAsia="ko-KR"/>
        </w:rPr>
        <w:t>m</w:t>
      </w:r>
      <w:r w:rsidR="00F3086C">
        <w:rPr>
          <w:lang w:eastAsia="ko-KR"/>
        </w:rPr>
        <w:t>M</w:t>
      </w:r>
      <w:proofErr w:type="spellEnd"/>
      <w:r w:rsidR="003A0661">
        <w:rPr>
          <w:lang w:eastAsia="ko-KR"/>
        </w:rPr>
        <w:t>’ subcarriers carries the synchronization sequence and remaining ones of ‘</w:t>
      </w:r>
      <w:proofErr w:type="spellStart"/>
      <w:r w:rsidR="003A0661">
        <w:rPr>
          <w:lang w:eastAsia="ko-KR"/>
        </w:rPr>
        <w:t>m</w:t>
      </w:r>
      <w:r w:rsidR="00F3086C">
        <w:rPr>
          <w:lang w:eastAsia="ko-KR"/>
        </w:rPr>
        <w:t>M</w:t>
      </w:r>
      <w:proofErr w:type="spellEnd"/>
      <w:r w:rsidR="003A0661">
        <w:rPr>
          <w:lang w:eastAsia="ko-KR"/>
        </w:rPr>
        <w:t>’ subcarriers have zero values.</w:t>
      </w:r>
      <w:r w:rsidR="00426F11">
        <w:rPr>
          <w:lang w:eastAsia="ko-KR"/>
        </w:rPr>
        <w:t xml:space="preserve"> The time domain representation of the synchronization signal will be repeated </w:t>
      </w:r>
      <w:r w:rsidR="00F3086C">
        <w:rPr>
          <w:lang w:eastAsia="ko-KR"/>
        </w:rPr>
        <w:t>2</w:t>
      </w:r>
      <w:r w:rsidR="00F3086C" w:rsidRPr="003A0661">
        <w:rPr>
          <w:vertAlign w:val="superscript"/>
          <w:lang w:eastAsia="ko-KR"/>
        </w:rPr>
        <w:t>m-1</w:t>
      </w:r>
      <w:r w:rsidR="00F3086C">
        <w:rPr>
          <w:vertAlign w:val="superscript"/>
          <w:lang w:eastAsia="ko-KR"/>
        </w:rPr>
        <w:t xml:space="preserve"> </w:t>
      </w:r>
      <w:r w:rsidR="00F3086C">
        <w:rPr>
          <w:lang w:eastAsia="ko-KR"/>
        </w:rPr>
        <w:t>times</w:t>
      </w:r>
      <w:r w:rsidR="00F3086C">
        <w:rPr>
          <w:vertAlign w:val="superscript"/>
          <w:lang w:eastAsia="ko-KR"/>
        </w:rPr>
        <w:t xml:space="preserve"> </w:t>
      </w:r>
      <w:r w:rsidR="00426F11">
        <w:rPr>
          <w:lang w:eastAsia="ko-KR"/>
        </w:rPr>
        <w:t>as shown in Figure 1.</w:t>
      </w:r>
    </w:p>
    <w:p w14:paraId="439B69B4" w14:textId="77777777" w:rsidR="000C2D51" w:rsidRDefault="000C2D51" w:rsidP="00E92CBE">
      <w:pPr>
        <w:rPr>
          <w:lang w:eastAsia="ko-KR"/>
        </w:rPr>
      </w:pPr>
    </w:p>
    <w:p w14:paraId="6489D579" w14:textId="77777777" w:rsidR="003A0661" w:rsidRDefault="003A0661" w:rsidP="00E92CBE">
      <w:pPr>
        <w:rPr>
          <w:lang w:eastAsia="ko-KR"/>
        </w:rPr>
      </w:pPr>
    </w:p>
    <w:p w14:paraId="025D9B6B" w14:textId="4C7AFA7E" w:rsidR="008F5E54" w:rsidRDefault="009A5F4D" w:rsidP="008923FF">
      <w:pPr>
        <w:jc w:val="center"/>
        <w:rPr>
          <w:lang w:eastAsia="ko-KR"/>
        </w:rPr>
      </w:pPr>
      <w:r>
        <w:object w:dxaOrig="11274" w:dyaOrig="6149" w14:anchorId="491E1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271.65pt" o:ole="">
            <v:imagedata r:id="rId8" o:title=""/>
          </v:shape>
          <o:OLEObject Type="Embed" ProgID="Visio.Drawing.15" ShapeID="_x0000_i1025" DrawAspect="Content" ObjectID="_1532539186" r:id="rId9"/>
        </w:object>
      </w:r>
    </w:p>
    <w:p w14:paraId="7D8AC5C4" w14:textId="535EB90D" w:rsidR="008923FF" w:rsidRDefault="008923FF" w:rsidP="000C2D51">
      <w:pPr>
        <w:spacing w:line="360" w:lineRule="auto"/>
        <w:jc w:val="center"/>
        <w:rPr>
          <w:b/>
          <w:szCs w:val="24"/>
          <w:lang w:eastAsia="ko-KR"/>
        </w:rPr>
      </w:pPr>
      <w:r w:rsidRPr="00DF5D32">
        <w:rPr>
          <w:rFonts w:hint="eastAsia"/>
          <w:b/>
          <w:szCs w:val="24"/>
          <w:lang w:eastAsia="ko-KR"/>
        </w:rPr>
        <w:t>Figure 1</w:t>
      </w:r>
      <w:r w:rsidRPr="00DF5D32">
        <w:rPr>
          <w:b/>
          <w:szCs w:val="24"/>
          <w:lang w:eastAsia="ko-KR"/>
        </w:rPr>
        <w:t xml:space="preserve"> – </w:t>
      </w:r>
      <w:r w:rsidR="00F3086C">
        <w:rPr>
          <w:b/>
          <w:szCs w:val="24"/>
          <w:lang w:eastAsia="ko-KR"/>
        </w:rPr>
        <w:t>Example of subcarrier mapping for design of band agnostic synchronization signal</w:t>
      </w:r>
    </w:p>
    <w:p w14:paraId="56151359" w14:textId="6C737EB5" w:rsidR="008F5E54" w:rsidRDefault="00426F11" w:rsidP="008F5E54">
      <w:pPr>
        <w:rPr>
          <w:lang w:eastAsia="ko-KR"/>
        </w:rPr>
      </w:pPr>
      <w:r w:rsidRPr="00426F11">
        <w:rPr>
          <w:rFonts w:hint="eastAsia"/>
          <w:lang w:eastAsia="ko-KR"/>
        </w:rPr>
        <w:t xml:space="preserve">In Figure 1, each </w:t>
      </w:r>
      <w:r w:rsidR="00F3086C">
        <w:rPr>
          <w:lang w:eastAsia="ko-KR"/>
        </w:rPr>
        <w:t xml:space="preserve">repetition part of </w:t>
      </w:r>
      <w:r w:rsidRPr="00426F11">
        <w:rPr>
          <w:rFonts w:hint="eastAsia"/>
          <w:lang w:eastAsia="ko-KR"/>
        </w:rPr>
        <w:t xml:space="preserve">time domain </w:t>
      </w:r>
      <w:r w:rsidR="00F3086C">
        <w:rPr>
          <w:lang w:eastAsia="ko-KR"/>
        </w:rPr>
        <w:t>signal</w:t>
      </w:r>
      <w:r w:rsidRPr="00426F11">
        <w:rPr>
          <w:rFonts w:hint="eastAsia"/>
          <w:lang w:eastAsia="ko-KR"/>
        </w:rPr>
        <w:t xml:space="preserve"> has same sequence. </w:t>
      </w:r>
      <w:r>
        <w:rPr>
          <w:lang w:eastAsia="ko-KR"/>
        </w:rPr>
        <w:t xml:space="preserve">Therefore, at </w:t>
      </w:r>
      <w:r w:rsidR="00D26664">
        <w:rPr>
          <w:lang w:eastAsia="ko-KR"/>
        </w:rPr>
        <w:t>a</w:t>
      </w:r>
      <w:r>
        <w:rPr>
          <w:lang w:eastAsia="ko-KR"/>
        </w:rPr>
        <w:t xml:space="preserve"> receiver side, a UE can correlate </w:t>
      </w:r>
      <w:r w:rsidR="00364E5E">
        <w:rPr>
          <w:lang w:eastAsia="ko-KR"/>
        </w:rPr>
        <w:t xml:space="preserve">the received signal with the same sequence regardless of different </w:t>
      </w:r>
      <w:r w:rsidR="00D26664">
        <w:rPr>
          <w:lang w:eastAsia="ko-KR"/>
        </w:rPr>
        <w:t xml:space="preserve">numerology (i.e., </w:t>
      </w:r>
      <w:r w:rsidR="00364E5E">
        <w:rPr>
          <w:lang w:eastAsia="ko-KR"/>
        </w:rPr>
        <w:t>subcarrier spacing</w:t>
      </w:r>
      <w:r w:rsidR="00D26664">
        <w:rPr>
          <w:lang w:eastAsia="ko-KR"/>
        </w:rPr>
        <w:t>)</w:t>
      </w:r>
      <w:r w:rsidR="00364E5E">
        <w:rPr>
          <w:lang w:eastAsia="ko-KR"/>
        </w:rPr>
        <w:t xml:space="preserve"> and detect the number of peaks according to the used numerology as shown in Figure 2. The UE can obtain the knowledge on the </w:t>
      </w:r>
      <w:r w:rsidR="00D26664">
        <w:rPr>
          <w:lang w:eastAsia="ko-KR"/>
        </w:rPr>
        <w:t xml:space="preserve">currently used </w:t>
      </w:r>
      <w:r w:rsidR="00364E5E">
        <w:rPr>
          <w:lang w:eastAsia="ko-KR"/>
        </w:rPr>
        <w:t xml:space="preserve">numerology based on the number of </w:t>
      </w:r>
      <w:proofErr w:type="gramStart"/>
      <w:r w:rsidR="00364E5E">
        <w:rPr>
          <w:lang w:eastAsia="ko-KR"/>
        </w:rPr>
        <w:t>peaks which</w:t>
      </w:r>
      <w:proofErr w:type="gramEnd"/>
      <w:r w:rsidR="00364E5E">
        <w:rPr>
          <w:lang w:eastAsia="ko-KR"/>
        </w:rPr>
        <w:t xml:space="preserve"> are from </w:t>
      </w:r>
      <w:r w:rsidR="00D26664">
        <w:rPr>
          <w:lang w:eastAsia="ko-KR"/>
        </w:rPr>
        <w:t xml:space="preserve">the </w:t>
      </w:r>
      <w:r w:rsidR="00364E5E">
        <w:rPr>
          <w:lang w:eastAsia="ko-KR"/>
        </w:rPr>
        <w:t>correlation result</w:t>
      </w:r>
      <w:r w:rsidR="00011420">
        <w:rPr>
          <w:lang w:eastAsia="ko-KR"/>
        </w:rPr>
        <w:t>.</w:t>
      </w:r>
    </w:p>
    <w:p w14:paraId="20A81FF0" w14:textId="77777777" w:rsidR="000C2D51" w:rsidRPr="00364E5E" w:rsidRDefault="000C2D51" w:rsidP="008F5E54">
      <w:pPr>
        <w:rPr>
          <w:highlight w:val="yellow"/>
          <w:lang w:eastAsia="ko-KR"/>
        </w:rPr>
      </w:pPr>
    </w:p>
    <w:p w14:paraId="33BEEDD7" w14:textId="0EEF7ED8" w:rsidR="007613E1" w:rsidRDefault="007613E1" w:rsidP="008923FF">
      <w:pPr>
        <w:jc w:val="center"/>
        <w:rPr>
          <w:lang w:eastAsia="ko-KR"/>
        </w:rPr>
      </w:pPr>
      <w:r w:rsidRPr="008167D6">
        <w:rPr>
          <w:noProof/>
          <w:lang w:val="en-US" w:eastAsia="ko-KR"/>
        </w:rPr>
        <w:lastRenderedPageBreak/>
        <w:drawing>
          <wp:inline distT="0" distB="0" distL="0" distR="0" wp14:anchorId="44ED8131" wp14:editId="015E04EC">
            <wp:extent cx="6115685" cy="332867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3328670"/>
                    </a:xfrm>
                    <a:prstGeom prst="rect">
                      <a:avLst/>
                    </a:prstGeom>
                    <a:noFill/>
                    <a:ln>
                      <a:noFill/>
                    </a:ln>
                  </pic:spPr>
                </pic:pic>
              </a:graphicData>
            </a:graphic>
          </wp:inline>
        </w:drawing>
      </w:r>
    </w:p>
    <w:p w14:paraId="441B53A9" w14:textId="435ED942" w:rsidR="008923FF" w:rsidRDefault="008923FF" w:rsidP="000C2D51">
      <w:pPr>
        <w:spacing w:line="360" w:lineRule="auto"/>
        <w:jc w:val="center"/>
        <w:rPr>
          <w:lang w:eastAsia="ko-KR"/>
        </w:rPr>
      </w:pPr>
      <w:r w:rsidRPr="00DF5D32">
        <w:rPr>
          <w:rFonts w:hint="eastAsia"/>
          <w:b/>
          <w:szCs w:val="24"/>
          <w:lang w:eastAsia="ko-KR"/>
        </w:rPr>
        <w:t xml:space="preserve">Figure </w:t>
      </w:r>
      <w:proofErr w:type="gramStart"/>
      <w:r w:rsidR="009A5F4D">
        <w:rPr>
          <w:b/>
          <w:szCs w:val="24"/>
          <w:lang w:eastAsia="ko-KR"/>
        </w:rPr>
        <w:t>2</w:t>
      </w:r>
      <w:proofErr w:type="gramEnd"/>
      <w:r w:rsidRPr="00DF5D32">
        <w:rPr>
          <w:b/>
          <w:szCs w:val="24"/>
          <w:lang w:eastAsia="ko-KR"/>
        </w:rPr>
        <w:t xml:space="preserve"> – </w:t>
      </w:r>
      <w:r w:rsidR="00D26664">
        <w:rPr>
          <w:b/>
          <w:szCs w:val="24"/>
          <w:lang w:eastAsia="ko-KR"/>
        </w:rPr>
        <w:t>Example of detecting numerology based on correlation result</w:t>
      </w:r>
    </w:p>
    <w:p w14:paraId="2BCCCAF8" w14:textId="7257F5A7" w:rsidR="0008518C" w:rsidRDefault="00011420" w:rsidP="0008518C">
      <w:pPr>
        <w:rPr>
          <w:b/>
          <w:lang w:eastAsia="ko-KR"/>
        </w:rPr>
      </w:pPr>
      <w:r>
        <w:rPr>
          <w:rFonts w:hint="eastAsia"/>
          <w:lang w:eastAsia="ko-KR"/>
        </w:rPr>
        <w:t xml:space="preserve">However, if there are multiple numerologies and </w:t>
      </w:r>
      <w:r>
        <w:rPr>
          <w:lang w:eastAsia="ko-KR"/>
        </w:rPr>
        <w:t>the difference between the smallest and largest</w:t>
      </w:r>
      <w:r w:rsidR="00D26664">
        <w:rPr>
          <w:lang w:eastAsia="ko-KR"/>
        </w:rPr>
        <w:t xml:space="preserve"> subcarrier spacing is large, it will be difficult to apply this approach to the </w:t>
      </w:r>
      <w:r w:rsidR="00335776">
        <w:rPr>
          <w:lang w:eastAsia="ko-KR"/>
        </w:rPr>
        <w:t xml:space="preserve">band </w:t>
      </w:r>
      <w:r w:rsidR="00D26664">
        <w:rPr>
          <w:lang w:eastAsia="ko-KR"/>
        </w:rPr>
        <w:t>agnostic design</w:t>
      </w:r>
      <w:r>
        <w:rPr>
          <w:lang w:eastAsia="ko-KR"/>
        </w:rPr>
        <w:t>. For example, it is assumed that the supporting numerologies are 7.5, 15, 30, 60, 120, 240kHz, and 72 subcarriers (including guard subcarriers) are used for transmission of synchronization signal like LTE. With 240kHz subcarrier spacing, the frequency bandwidth for 72 subcarriers will be 17.28</w:t>
      </w:r>
      <w:r>
        <w:rPr>
          <w:rFonts w:hint="eastAsia"/>
          <w:lang w:eastAsia="ko-KR"/>
        </w:rPr>
        <w:t xml:space="preserve">MHz instead of </w:t>
      </w:r>
      <w:r>
        <w:rPr>
          <w:lang w:eastAsia="ko-KR"/>
        </w:rPr>
        <w:t>1.08MHz in LTE.</w:t>
      </w:r>
      <w:r w:rsidR="00AF02A6">
        <w:rPr>
          <w:lang w:eastAsia="ko-KR"/>
        </w:rPr>
        <w:t xml:space="preserve"> </w:t>
      </w:r>
      <w:r w:rsidR="00D26664">
        <w:rPr>
          <w:lang w:eastAsia="ko-KR"/>
        </w:rPr>
        <w:t xml:space="preserve">The value is infeasible for common frequency bandwidth for initial access. </w:t>
      </w:r>
      <w:r w:rsidR="00335776">
        <w:rPr>
          <w:lang w:eastAsia="ko-KR"/>
        </w:rPr>
        <w:t xml:space="preserve">In order to resolve this issue, one of solution is </w:t>
      </w:r>
      <w:r w:rsidR="00AF02A6">
        <w:rPr>
          <w:lang w:eastAsia="ko-KR"/>
        </w:rPr>
        <w:t xml:space="preserve">to separate the </w:t>
      </w:r>
      <w:r w:rsidR="00335776">
        <w:rPr>
          <w:lang w:eastAsia="ko-KR"/>
        </w:rPr>
        <w:t xml:space="preserve">multiple </w:t>
      </w:r>
      <w:r w:rsidR="00AF02A6">
        <w:rPr>
          <w:lang w:eastAsia="ko-KR"/>
        </w:rPr>
        <w:t xml:space="preserve">numerologies into multiple subset, for example, SET1 (7.5, 15, </w:t>
      </w:r>
      <w:proofErr w:type="gramStart"/>
      <w:r w:rsidR="00AF02A6">
        <w:rPr>
          <w:lang w:eastAsia="ko-KR"/>
        </w:rPr>
        <w:t>30</w:t>
      </w:r>
      <w:r w:rsidR="00AF02A6">
        <w:rPr>
          <w:rFonts w:hint="eastAsia"/>
          <w:lang w:eastAsia="ko-KR"/>
        </w:rPr>
        <w:t>kHz</w:t>
      </w:r>
      <w:proofErr w:type="gramEnd"/>
      <w:r w:rsidR="00AF02A6">
        <w:rPr>
          <w:rFonts w:hint="eastAsia"/>
          <w:lang w:eastAsia="ko-KR"/>
        </w:rPr>
        <w:t>)</w:t>
      </w:r>
      <w:r w:rsidR="00AF02A6">
        <w:rPr>
          <w:lang w:eastAsia="ko-KR"/>
        </w:rPr>
        <w:t xml:space="preserve"> and SET2 (60, 120, 240kH</w:t>
      </w:r>
      <w:r w:rsidR="00335776">
        <w:rPr>
          <w:lang w:eastAsia="ko-KR"/>
        </w:rPr>
        <w:t xml:space="preserve">z) and to apply band </w:t>
      </w:r>
      <w:r w:rsidR="00AF02A6">
        <w:rPr>
          <w:lang w:eastAsia="ko-KR"/>
        </w:rPr>
        <w:t>agnostic design of</w:t>
      </w:r>
      <w:r w:rsidR="00335776">
        <w:rPr>
          <w:lang w:eastAsia="ko-KR"/>
        </w:rPr>
        <w:t xml:space="preserve"> synchronization signal within each</w:t>
      </w:r>
      <w:r w:rsidR="00AF02A6">
        <w:rPr>
          <w:lang w:eastAsia="ko-KR"/>
        </w:rPr>
        <w:t xml:space="preserve"> subset</w:t>
      </w:r>
      <w:r w:rsidR="00335776">
        <w:rPr>
          <w:lang w:eastAsia="ko-KR"/>
        </w:rPr>
        <w:t xml:space="preserve"> separately</w:t>
      </w:r>
      <w:r w:rsidR="00AF02A6">
        <w:rPr>
          <w:lang w:eastAsia="ko-KR"/>
        </w:rPr>
        <w:t>.</w:t>
      </w:r>
    </w:p>
    <w:p w14:paraId="44E07C68" w14:textId="77777777" w:rsidR="0008518C" w:rsidRPr="0008518C" w:rsidRDefault="0008518C" w:rsidP="0008518C">
      <w:pPr>
        <w:rPr>
          <w:b/>
          <w:lang w:eastAsia="ko-KR"/>
        </w:rPr>
      </w:pPr>
    </w:p>
    <w:p w14:paraId="32D6B7B5" w14:textId="1E4BADC4" w:rsidR="003A7A21" w:rsidRPr="0008518C" w:rsidRDefault="0008518C" w:rsidP="0008518C">
      <w:pPr>
        <w:rPr>
          <w:b/>
          <w:lang w:eastAsia="ko-KR"/>
        </w:rPr>
      </w:pPr>
      <w:r w:rsidRPr="00CC305A">
        <w:rPr>
          <w:b/>
          <w:lang w:eastAsia="ko-KR"/>
        </w:rPr>
        <w:t>Proposal</w:t>
      </w:r>
      <w:r>
        <w:rPr>
          <w:b/>
          <w:lang w:eastAsia="ko-KR"/>
        </w:rPr>
        <w:t xml:space="preserve">: </w:t>
      </w:r>
      <w:r w:rsidRPr="00F15125">
        <w:rPr>
          <w:lang w:eastAsia="ko-KR"/>
        </w:rPr>
        <w:t xml:space="preserve">The </w:t>
      </w:r>
      <w:r w:rsidR="00335776">
        <w:rPr>
          <w:lang w:eastAsia="ko-KR"/>
        </w:rPr>
        <w:t xml:space="preserve">band </w:t>
      </w:r>
      <w:r>
        <w:rPr>
          <w:lang w:eastAsia="ko-KR"/>
        </w:rPr>
        <w:t>agnostic design of synchronization signal should be considered.</w:t>
      </w:r>
    </w:p>
    <w:p w14:paraId="67875B91" w14:textId="77777777" w:rsidR="0008518C" w:rsidRPr="0008518C" w:rsidRDefault="0008518C"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5A353CF6" w:rsidR="00AF02A6" w:rsidRDefault="00850CBC" w:rsidP="00AF02A6">
      <w:pPr>
        <w:widowControl w:val="0"/>
        <w:autoSpaceDE w:val="0"/>
        <w:autoSpaceDN w:val="0"/>
        <w:spacing w:after="120" w:line="276" w:lineRule="auto"/>
        <w:rPr>
          <w:rFonts w:eastAsia="맑은 고딕" w:cs="Times"/>
          <w:kern w:val="2"/>
          <w:szCs w:val="22"/>
          <w:lang w:val="en-US" w:eastAsia="ko-KR"/>
        </w:rPr>
      </w:pPr>
      <w:r>
        <w:rPr>
          <w:lang w:eastAsia="ko-KR"/>
        </w:rPr>
        <w:t xml:space="preserve">In this contribution, </w:t>
      </w:r>
      <w:r w:rsidR="001F0771">
        <w:rPr>
          <w:lang w:eastAsia="ko-KR"/>
        </w:rPr>
        <w:t xml:space="preserve">we </w:t>
      </w:r>
      <w:r w:rsidR="00AF02A6">
        <w:rPr>
          <w:lang w:eastAsia="ko-KR"/>
        </w:rPr>
        <w:t>made the following proposal.</w:t>
      </w:r>
    </w:p>
    <w:p w14:paraId="491D220D" w14:textId="7375E16C" w:rsidR="00E44FAD" w:rsidRPr="0008518C" w:rsidRDefault="00335776" w:rsidP="00777285">
      <w:pPr>
        <w:pStyle w:val="afb"/>
        <w:numPr>
          <w:ilvl w:val="0"/>
          <w:numId w:val="24"/>
        </w:numPr>
        <w:spacing w:line="336" w:lineRule="auto"/>
        <w:ind w:leftChars="0" w:left="806" w:hanging="403"/>
        <w:rPr>
          <w:lang w:eastAsia="ko-KR"/>
        </w:rPr>
      </w:pPr>
      <w:r>
        <w:rPr>
          <w:lang w:eastAsia="ko-KR"/>
        </w:rPr>
        <w:t xml:space="preserve">The band </w:t>
      </w:r>
      <w:r w:rsidR="0008518C" w:rsidRPr="0008518C">
        <w:rPr>
          <w:lang w:eastAsia="ko-KR"/>
        </w:rPr>
        <w:t>agnostic design of synchronization signal should be considered.</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42269B6A" w:rsidR="00F524C3" w:rsidRDefault="00431316" w:rsidP="0083141D">
      <w:pPr>
        <w:numPr>
          <w:ilvl w:val="0"/>
          <w:numId w:val="7"/>
        </w:numPr>
        <w:tabs>
          <w:tab w:val="left" w:pos="810"/>
        </w:tabs>
        <w:spacing w:after="180"/>
        <w:contextualSpacing/>
        <w:rPr>
          <w:lang w:eastAsia="zh-CN"/>
        </w:rPr>
      </w:pPr>
      <w:r w:rsidRPr="00137900">
        <w:rPr>
          <w:lang w:eastAsia="zh-CN"/>
        </w:rPr>
        <w:t>Chairman’s notes, RAN1#8</w:t>
      </w:r>
      <w:r>
        <w:rPr>
          <w:lang w:eastAsia="zh-CN"/>
        </w:rPr>
        <w:t>4bis</w:t>
      </w:r>
      <w:r w:rsidRPr="00137900">
        <w:rPr>
          <w:lang w:eastAsia="zh-CN"/>
        </w:rPr>
        <w:t xml:space="preserve">, </w:t>
      </w:r>
      <w:r>
        <w:rPr>
          <w:lang w:eastAsia="zh-CN"/>
        </w:rPr>
        <w:t>April</w:t>
      </w:r>
      <w:r w:rsidRPr="0026760B">
        <w:rPr>
          <w:lang w:eastAsia="zh-CN"/>
        </w:rPr>
        <w:t xml:space="preserve"> 2016</w:t>
      </w:r>
      <w:r w:rsidRPr="00137900">
        <w:rPr>
          <w:lang w:eastAsia="zh-CN"/>
        </w:rPr>
        <w:t>.</w:t>
      </w:r>
    </w:p>
    <w:p w14:paraId="4E9B5FEA" w14:textId="1CE84D6C" w:rsidR="008F5E54" w:rsidRPr="00F524C3" w:rsidRDefault="00431316" w:rsidP="008F5191">
      <w:pPr>
        <w:numPr>
          <w:ilvl w:val="0"/>
          <w:numId w:val="7"/>
        </w:numPr>
        <w:tabs>
          <w:tab w:val="left" w:pos="810"/>
        </w:tabs>
        <w:spacing w:after="180"/>
        <w:contextualSpacing/>
        <w:rPr>
          <w:lang w:eastAsia="zh-CN"/>
        </w:rPr>
      </w:pPr>
      <w:r w:rsidRPr="00137900">
        <w:rPr>
          <w:lang w:eastAsia="zh-CN"/>
        </w:rPr>
        <w:t>Chairman’s notes, RAN1#8</w:t>
      </w:r>
      <w:r>
        <w:rPr>
          <w:lang w:eastAsia="zh-CN"/>
        </w:rPr>
        <w:t>5</w:t>
      </w:r>
      <w:r w:rsidRPr="00137900">
        <w:rPr>
          <w:lang w:eastAsia="zh-CN"/>
        </w:rPr>
        <w:t xml:space="preserve">, </w:t>
      </w:r>
      <w:r w:rsidRPr="0026760B">
        <w:rPr>
          <w:lang w:eastAsia="zh-CN"/>
        </w:rPr>
        <w:t>May 2016</w:t>
      </w:r>
      <w:r w:rsidRPr="00137900">
        <w:rPr>
          <w:lang w:eastAsia="zh-CN"/>
        </w:rPr>
        <w:t>.</w:t>
      </w:r>
    </w:p>
    <w:sectPr w:rsidR="008F5E54" w:rsidRPr="00F524C3" w:rsidSect="00AF7772">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5B4AF" w14:textId="77777777" w:rsidR="004827F4" w:rsidRDefault="004827F4">
      <w:r>
        <w:separator/>
      </w:r>
    </w:p>
  </w:endnote>
  <w:endnote w:type="continuationSeparator" w:id="0">
    <w:p w14:paraId="3F3E6CA6" w14:textId="77777777" w:rsidR="004827F4" w:rsidRDefault="0048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emilight">
    <w:panose1 w:val="020B04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41714B">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41714B">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20B45" w14:textId="77777777" w:rsidR="004827F4" w:rsidRDefault="004827F4">
      <w:r>
        <w:separator/>
      </w:r>
    </w:p>
  </w:footnote>
  <w:footnote w:type="continuationSeparator" w:id="0">
    <w:p w14:paraId="787BF3E0" w14:textId="77777777" w:rsidR="004827F4" w:rsidRDefault="004827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B6105"/>
    <w:multiLevelType w:val="hybridMultilevel"/>
    <w:tmpl w:val="AF085F9C"/>
    <w:lvl w:ilvl="0" w:tplc="F70296F2">
      <w:start w:val="1"/>
      <w:numFmt w:val="bullet"/>
      <w:lvlText w:val="-"/>
      <w:lvlJc w:val="left"/>
      <w:pPr>
        <w:ind w:left="800" w:hanging="400"/>
      </w:pPr>
      <w:rPr>
        <w:rFonts w:ascii="Segoe UI Semilight" w:hAnsi="Segoe UI Semilight"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1"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2"/>
  </w:num>
  <w:num w:numId="3">
    <w:abstractNumId w:val="12"/>
  </w:num>
  <w:num w:numId="4">
    <w:abstractNumId w:val="26"/>
  </w:num>
  <w:num w:numId="5">
    <w:abstractNumId w:val="2"/>
  </w:num>
  <w:num w:numId="6">
    <w:abstractNumId w:val="10"/>
  </w:num>
  <w:num w:numId="7">
    <w:abstractNumId w:val="18"/>
  </w:num>
  <w:num w:numId="8">
    <w:abstractNumId w:val="13"/>
  </w:num>
  <w:num w:numId="9">
    <w:abstractNumId w:val="16"/>
  </w:num>
  <w:num w:numId="10">
    <w:abstractNumId w:val="0"/>
  </w:num>
  <w:num w:numId="11">
    <w:abstractNumId w:val="2"/>
  </w:num>
  <w:num w:numId="12">
    <w:abstractNumId w:val="2"/>
  </w:num>
  <w:num w:numId="13">
    <w:abstractNumId w:val="7"/>
  </w:num>
  <w:num w:numId="14">
    <w:abstractNumId w:val="14"/>
  </w:num>
  <w:num w:numId="15">
    <w:abstractNumId w:val="8"/>
  </w:num>
  <w:num w:numId="16">
    <w:abstractNumId w:val="5"/>
  </w:num>
  <w:num w:numId="17">
    <w:abstractNumId w:val="3"/>
  </w:num>
  <w:num w:numId="18">
    <w:abstractNumId w:val="27"/>
  </w:num>
  <w:num w:numId="19">
    <w:abstractNumId w:val="23"/>
  </w:num>
  <w:num w:numId="20">
    <w:abstractNumId w:val="20"/>
  </w:num>
  <w:num w:numId="21">
    <w:abstractNumId w:val="15"/>
  </w:num>
  <w:num w:numId="22">
    <w:abstractNumId w:val="21"/>
  </w:num>
  <w:num w:numId="23">
    <w:abstractNumId w:val="6"/>
  </w:num>
  <w:num w:numId="24">
    <w:abstractNumId w:val="24"/>
  </w:num>
  <w:num w:numId="25">
    <w:abstractNumId w:val="19"/>
  </w:num>
  <w:num w:numId="26">
    <w:abstractNumId w:val="25"/>
  </w:num>
  <w:num w:numId="27">
    <w:abstractNumId w:val="2"/>
  </w:num>
  <w:num w:numId="28">
    <w:abstractNumId w:val="2"/>
  </w:num>
  <w:num w:numId="29">
    <w:abstractNumId w:val="2"/>
  </w:num>
  <w:num w:numId="30">
    <w:abstractNumId w:val="2"/>
  </w:num>
  <w:num w:numId="31">
    <w:abstractNumId w:val="9"/>
  </w:num>
  <w:num w:numId="32">
    <w:abstractNumId w:val="11"/>
  </w:num>
  <w:num w:numId="33">
    <w:abstractNumId w:val="4"/>
  </w:num>
  <w:num w:numId="3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B48"/>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E0B"/>
    <w:rsid w:val="0031179F"/>
    <w:rsid w:val="00311895"/>
    <w:rsid w:val="00311BB8"/>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76"/>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503"/>
    <w:rsid w:val="00363B49"/>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60BF"/>
    <w:rsid w:val="004766AF"/>
    <w:rsid w:val="0047674E"/>
    <w:rsid w:val="004770BE"/>
    <w:rsid w:val="004776C5"/>
    <w:rsid w:val="00480726"/>
    <w:rsid w:val="00480953"/>
    <w:rsid w:val="00480A00"/>
    <w:rsid w:val="0048125A"/>
    <w:rsid w:val="00481520"/>
    <w:rsid w:val="0048197B"/>
    <w:rsid w:val="004827F4"/>
    <w:rsid w:val="00482E11"/>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031F"/>
    <w:rsid w:val="00510446"/>
    <w:rsid w:val="00511092"/>
    <w:rsid w:val="00511281"/>
    <w:rsid w:val="00511B5E"/>
    <w:rsid w:val="00511CEE"/>
    <w:rsid w:val="0051241D"/>
    <w:rsid w:val="0051268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955"/>
    <w:rsid w:val="00674F3B"/>
    <w:rsid w:val="0067525E"/>
    <w:rsid w:val="006753C3"/>
    <w:rsid w:val="006754F5"/>
    <w:rsid w:val="00675D65"/>
    <w:rsid w:val="00676507"/>
    <w:rsid w:val="006767F4"/>
    <w:rsid w:val="00677235"/>
    <w:rsid w:val="00677747"/>
    <w:rsid w:val="00677F21"/>
    <w:rsid w:val="00677F24"/>
    <w:rsid w:val="006801A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10A"/>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529F"/>
    <w:rsid w:val="006D5809"/>
    <w:rsid w:val="006D5C42"/>
    <w:rsid w:val="006D5DDC"/>
    <w:rsid w:val="006D61C5"/>
    <w:rsid w:val="006D6212"/>
    <w:rsid w:val="006D6503"/>
    <w:rsid w:val="006D686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D1F"/>
    <w:rsid w:val="00765098"/>
    <w:rsid w:val="007656D0"/>
    <w:rsid w:val="00765768"/>
    <w:rsid w:val="00765A76"/>
    <w:rsid w:val="00765CFA"/>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C55"/>
    <w:rsid w:val="007A2DBF"/>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F82"/>
    <w:rsid w:val="007D0920"/>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FDD"/>
    <w:rsid w:val="0082548D"/>
    <w:rsid w:val="008258EB"/>
    <w:rsid w:val="00825F29"/>
    <w:rsid w:val="00826163"/>
    <w:rsid w:val="008275B3"/>
    <w:rsid w:val="008277AE"/>
    <w:rsid w:val="00827A15"/>
    <w:rsid w:val="00827B4F"/>
    <w:rsid w:val="00830A77"/>
    <w:rsid w:val="00830CEB"/>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8E2"/>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2B09"/>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3A"/>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504D"/>
    <w:rsid w:val="00AE54D5"/>
    <w:rsid w:val="00AE5A37"/>
    <w:rsid w:val="00AE5B2A"/>
    <w:rsid w:val="00AE663B"/>
    <w:rsid w:val="00AE67BB"/>
    <w:rsid w:val="00AE68B7"/>
    <w:rsid w:val="00AE6B73"/>
    <w:rsid w:val="00AE6E22"/>
    <w:rsid w:val="00AE70D3"/>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D0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800"/>
    <w:rsid w:val="00C32DFF"/>
    <w:rsid w:val="00C33194"/>
    <w:rsid w:val="00C331F6"/>
    <w:rsid w:val="00C3400D"/>
    <w:rsid w:val="00C34658"/>
    <w:rsid w:val="00C349C5"/>
    <w:rsid w:val="00C34CE7"/>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263"/>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86C"/>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A1DDB-3D4E-4FF3-872C-83EA63A23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791</Words>
  <Characters>4511</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5292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3</cp:revision>
  <cp:lastPrinted>2014-05-09T11:56:00Z</cp:lastPrinted>
  <dcterms:created xsi:type="dcterms:W3CDTF">2016-08-12T11:20:00Z</dcterms:created>
  <dcterms:modified xsi:type="dcterms:W3CDTF">2016-08-12T11:32:00Z</dcterms:modified>
  <cp:category/>
</cp:coreProperties>
</file>